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elektroenergetycznej linii napowietrznej wraz z przyłączem napowietrznym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zasilania budynku warsztatowo – usługowego, dz. nr 180/3, 186/4, obręb Kazimierzowo gmina Elbląg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RgaKYZqq0kH2US1A/3YWD9rbzs=" w:salt="OazevqfFpqRkuaOfbd4KEA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60251"/>
    <w:rsid w:val="0059775F"/>
    <w:rsid w:val="005B3037"/>
    <w:rsid w:val="005D7F62"/>
    <w:rsid w:val="0060103C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D61F5"/>
    <w:rsid w:val="007D660E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45CAE"/>
    <w:rsid w:val="00D46542"/>
    <w:rsid w:val="00D46E07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AA06-5370-4FD4-AB54-22DD225B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1281</Words>
  <Characters>7688</Characters>
  <Application>Microsoft Office Word</Application>
  <DocSecurity>8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46</cp:revision>
  <cp:lastPrinted>2015-07-27T09:48:00Z</cp:lastPrinted>
  <dcterms:created xsi:type="dcterms:W3CDTF">2016-04-06T12:29:00Z</dcterms:created>
  <dcterms:modified xsi:type="dcterms:W3CDTF">2016-09-14T13:32:00Z</dcterms:modified>
</cp:coreProperties>
</file>